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и молодежной политики администрации города Перми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художественная школа № 2»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>
      <w:pPr>
        <w:spacing w:after="0" w:line="276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«Применение 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кварельной техники по - сырому </w:t>
      </w:r>
    </w:p>
    <w:p>
      <w:pPr>
        <w:spacing w:after="0" w:line="276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работе с обучающимися детской художественной школы </w:t>
      </w:r>
    </w:p>
    <w:p>
      <w:pPr>
        <w:spacing w:after="0" w:line="276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примере выполнения этюда «Фрукты по «серебру»</w:t>
      </w:r>
    </w:p>
    <w:p>
      <w:pPr>
        <w:spacing w:after="0" w:line="276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Кобякова Елена Анатольевна</w:t>
      </w:r>
    </w:p>
    <w:p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«Детская художественная школа №2»</w:t>
      </w:r>
    </w:p>
    <w:p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Пермь</w:t>
      </w:r>
    </w:p>
    <w:p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Аннотация</w:t>
      </w:r>
    </w:p>
    <w:p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разработка составлена к учебному предмету «Живопись» дополнительной общеобразовательной предпрофессиональной программы «Живопись», срок обучения 5 лет. Работа показывает, как и в каких заданиях можно применить акварельную технику по - сырому, на примере личного опыта преподавателя. 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………………………………………………………………….4</w:t>
      </w:r>
    </w:p>
    <w:p>
      <w:pPr>
        <w:pStyle w:val="a7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 и акварельная живопись История развития акварельной живописи…………………………………………………………………..5</w:t>
      </w:r>
    </w:p>
    <w:p>
      <w:pPr>
        <w:pStyle w:val="a7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Художник-аквалерист Анисимова Татьяна Борисовна…………………6</w:t>
      </w:r>
    </w:p>
    <w:p>
      <w:pPr>
        <w:pStyle w:val="a7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 по-сырому……………………………………………………….7</w:t>
      </w:r>
    </w:p>
    <w:p>
      <w:pPr>
        <w:pStyle w:val="a7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«Фрукты по «серебру» с белым предметом»………………7</w:t>
      </w:r>
    </w:p>
    <w:p>
      <w:pPr>
        <w:pStyle w:val="a7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натюрмортом…………………………………………8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дополнительной предпрофессиональной  программе  «Живопись», начиная с первого класса, внимание обращается на изучение использования возможностей материала акварели. Учебная программа «Живопись» включает раздел «Приемы работы с акварелью». Приемы работы с акварелью достаточно разнообразны, а одни из основных приемов – заливка, по-сырому,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популярных приемов работы с акварелью в этом разделе является  акварель по-сырому. Предложенный материал дает педагогам возможность творчески подходить к преподаванию дисциплины, что очень актуально в формировании творческого потенциала у детей.</w:t>
      </w:r>
    </w:p>
    <w:p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сформировать знания о пластической возможности акварели в работе с учениками детской художественной школы.</w:t>
      </w:r>
    </w:p>
    <w:p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понять закономерности и пластические особенности  техники акварель по- сырому.</w:t>
      </w:r>
    </w:p>
    <w:p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технические навыки рисования акварелью:</w:t>
      </w:r>
    </w:p>
    <w:p>
      <w:pPr>
        <w:pStyle w:val="a7"/>
        <w:numPr>
          <w:ilvl w:val="4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 развивать воображение, память и творческие способности;</w:t>
      </w:r>
    </w:p>
    <w:p>
      <w:pPr>
        <w:pStyle w:val="a7"/>
        <w:numPr>
          <w:ilvl w:val="4"/>
          <w:numId w:val="6"/>
        </w:numPr>
        <w:spacing w:after="0" w:line="276" w:lineRule="auto"/>
        <w:ind w:left="1701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воспитать наблюдательность и аккуратность.</w:t>
      </w:r>
    </w:p>
    <w:p>
      <w:pPr>
        <w:pStyle w:val="a7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теории работы с акварелью по- сырому;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особенности использования акварели, как материала в работах;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технике акварели по- сырому.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Акварель и акварельная живопись.</w:t>
      </w:r>
    </w:p>
    <w:p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Акварель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tooltip="Французский язы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Aquarelle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—водянистая)—</w:t>
      </w:r>
      <w:hyperlink r:id="rId9" w:tooltip="Живопис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живописная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техника, использующая специальные акварельные краски, при растворении в воде образующие прозрачную взвесь тонкого пигмента, и позволяющая за счёт этого создавать эффект лёгкости, воздушности и тонких цветовых переходов. Акварель совмещает особенности живописи (богатство тона, построение формы и пространства цветом). А так же 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рафи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графики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(активная роль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Бумаг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бумаги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построении изображения, отсутствие специфической рельефности мазка).</w:t>
      </w:r>
    </w:p>
    <w:p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Основа (живопись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Основой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акварели является, как правило,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Бумаг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бумага</w:t>
        </w:r>
      </w:hyperlink>
      <w:r>
        <w:rPr>
          <w:rFonts w:ascii="Times New Roman" w:hAnsi="Times New Roman" w:cs="Times New Roman"/>
          <w:sz w:val="28"/>
          <w:szCs w:val="28"/>
        </w:rPr>
        <w:t>, которую часто</w:t>
      </w:r>
      <w:hyperlink r:id="rId14" w:tooltip="Акварель по-сыром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предварительно смачивают водой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особой размытой формы мазка. Для этого может служить </w:t>
      </w:r>
      <w:hyperlink r:id="rId15" w:tooltip="Стекл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стекло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при этом бумага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влажная.В зависимости от того, как долго отрабатывается конкретный участок рисунка, выбирают угол наклона стекла, но чаще всего стекло лежит горизонтально.Краска играет по-разному, чем создает желаемый эффект. Именно в этом заключается наиболее распространённое современное понимание акварельной техники. Кроме того, в акварели могут использоватьсяработа заливками и точечно-штриховая техника. Именно для таких приёмов используется натягивание листа бумаги на планшет.</w:t>
      </w:r>
    </w:p>
    <w:p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 развития акварельной живописи.</w:t>
      </w:r>
    </w:p>
    <w:p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английская традиция акварели оказала сильное влияние на русских художников, прежде всего тех, кто был связан с императорской Академией художеств, находившейся в столице империи— Санкт-Петербурге.</w:t>
      </w:r>
    </w:p>
    <w:p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имя в летописи русской акварели, которое по праву зачинателя и уровню мастерства необходимо назвать —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tooltip="Соколов, Пётр Фёдорович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Петр Фёдорович Соколов</w:t>
        </w:r>
      </w:hyperlink>
      <w:r>
        <w:rPr>
          <w:rFonts w:ascii="Times New Roman" w:hAnsi="Times New Roman" w:cs="Times New Roman"/>
          <w:sz w:val="28"/>
          <w:szCs w:val="28"/>
        </w:rPr>
        <w:t>. Он исполнялпортреты, сцены охоты, жанры, запечатлев лик своей эпохи и своих современников.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Акварелью, в портрете и жанре, работали живописец</w:t>
      </w:r>
      <w:r>
        <w:rPr>
          <w:rStyle w:val="apple-converted-space"/>
          <w:sz w:val="28"/>
          <w:szCs w:val="28"/>
        </w:rPr>
        <w:t> </w:t>
      </w:r>
      <w:hyperlink r:id="rId17" w:tooltip="Брюллов, Карл Павлович" w:history="1">
        <w:r>
          <w:rPr>
            <w:rStyle w:val="a3"/>
            <w:color w:val="auto"/>
            <w:sz w:val="28"/>
            <w:szCs w:val="28"/>
            <w:u w:val="none"/>
          </w:rPr>
          <w:t>Карл Брюллов</w:t>
        </w:r>
      </w:hyperlink>
      <w:r>
        <w:rPr>
          <w:sz w:val="28"/>
          <w:szCs w:val="28"/>
        </w:rPr>
        <w:t xml:space="preserve"> и егобрат — архитектор</w:t>
      </w:r>
      <w:r>
        <w:rPr>
          <w:rStyle w:val="apple-converted-space"/>
          <w:sz w:val="28"/>
          <w:szCs w:val="28"/>
        </w:rPr>
        <w:t> </w:t>
      </w:r>
      <w:hyperlink r:id="rId18" w:tooltip="Брюллов, Александр Павлович" w:history="1">
        <w:r>
          <w:rPr>
            <w:rStyle w:val="a3"/>
            <w:color w:val="auto"/>
            <w:sz w:val="28"/>
            <w:szCs w:val="28"/>
            <w:u w:val="none"/>
          </w:rPr>
          <w:t>Александр Брюллов</w:t>
        </w:r>
      </w:hyperlink>
      <w:r>
        <w:rPr>
          <w:sz w:val="28"/>
          <w:szCs w:val="28"/>
        </w:rPr>
        <w:t xml:space="preserve">. 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половине XIX века, в ряду акварельных произведений выделяют </w:t>
      </w:r>
      <w:hyperlink r:id="rId19" w:tooltip="Клодт, Михаил Петрович" w:history="1">
        <w:r>
          <w:rPr>
            <w:rStyle w:val="a3"/>
            <w:color w:val="auto"/>
            <w:sz w:val="28"/>
            <w:szCs w:val="28"/>
            <w:u w:val="none"/>
          </w:rPr>
          <w:t>Михаилов,Клодт</w:t>
        </w:r>
      </w:hyperlink>
      <w:r>
        <w:rPr>
          <w:sz w:val="28"/>
          <w:szCs w:val="28"/>
        </w:rPr>
        <w:t>. Свою оригинальную дань искусству акварелипринесли такие живописцы, как</w:t>
      </w:r>
      <w:r>
        <w:rPr>
          <w:rStyle w:val="apple-converted-space"/>
          <w:sz w:val="28"/>
          <w:szCs w:val="28"/>
        </w:rPr>
        <w:t> </w:t>
      </w:r>
      <w:hyperlink r:id="rId20" w:tooltip="Репин, Илья Ефимович" w:history="1">
        <w:r>
          <w:rPr>
            <w:rStyle w:val="a3"/>
            <w:color w:val="auto"/>
            <w:sz w:val="28"/>
            <w:szCs w:val="28"/>
            <w:u w:val="none"/>
          </w:rPr>
          <w:t>ИльяРепин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hyperlink r:id="rId21" w:tooltip="Врубель, Михаил Александрович" w:history="1">
        <w:r>
          <w:rPr>
            <w:rStyle w:val="a3"/>
            <w:color w:val="auto"/>
            <w:sz w:val="28"/>
            <w:szCs w:val="28"/>
            <w:u w:val="none"/>
          </w:rPr>
          <w:t>Михаил Врубель</w:t>
        </w:r>
      </w:hyperlink>
      <w:r>
        <w:rPr>
          <w:sz w:val="28"/>
          <w:szCs w:val="28"/>
        </w:rPr>
        <w:t>,</w:t>
      </w:r>
      <w:hyperlink r:id="rId22" w:tooltip="Серов, Валентин Александрович" w:history="1">
        <w:r>
          <w:rPr>
            <w:rStyle w:val="a3"/>
            <w:color w:val="auto"/>
            <w:sz w:val="28"/>
            <w:szCs w:val="28"/>
            <w:u w:val="none"/>
          </w:rPr>
          <w:t>ВалентинСеров</w:t>
        </w:r>
      </w:hyperlink>
      <w:r>
        <w:rPr>
          <w:sz w:val="28"/>
          <w:szCs w:val="28"/>
        </w:rPr>
        <w:t>.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Акварельная живопись увлекала и членов объединения «Мир искусства». А именно </w:t>
      </w:r>
      <w:hyperlink r:id="rId23" w:tooltip="Бенуа, Александр Николаевич" w:history="1">
        <w:r>
          <w:rPr>
            <w:rStyle w:val="a3"/>
            <w:color w:val="auto"/>
            <w:sz w:val="28"/>
            <w:szCs w:val="28"/>
            <w:u w:val="none"/>
          </w:rPr>
          <w:t>Александра Бену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hyperlink r:id="rId24" w:tooltip="Леон Бакст" w:history="1">
        <w:r>
          <w:rPr>
            <w:rStyle w:val="a3"/>
            <w:color w:val="auto"/>
            <w:sz w:val="28"/>
            <w:szCs w:val="28"/>
            <w:u w:val="none"/>
          </w:rPr>
          <w:t>Льва Бакста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hyperlink r:id="rId25" w:tooltip="Билибин, Иван Яковлевич" w:history="1">
        <w:r>
          <w:rPr>
            <w:rStyle w:val="a3"/>
            <w:color w:val="auto"/>
            <w:sz w:val="28"/>
            <w:szCs w:val="28"/>
            <w:u w:val="none"/>
          </w:rPr>
          <w:t>Ивана Билибина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 а так же </w:t>
      </w:r>
      <w:hyperlink r:id="rId26" w:tooltip="Сомов, Константин Андреевич" w:history="1">
        <w:r>
          <w:rPr>
            <w:rStyle w:val="a3"/>
            <w:color w:val="auto"/>
            <w:sz w:val="28"/>
            <w:szCs w:val="28"/>
            <w:u w:val="none"/>
          </w:rPr>
          <w:t>Константина Сомова</w:t>
        </w:r>
      </w:hyperlink>
      <w:r>
        <w:rPr>
          <w:sz w:val="28"/>
          <w:szCs w:val="28"/>
        </w:rPr>
        <w:t xml:space="preserve">. 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этапом в развитии русской акварели стала организация в 1887 году</w:t>
      </w:r>
      <w:r>
        <w:rPr>
          <w:rStyle w:val="apple-converted-space"/>
          <w:sz w:val="28"/>
          <w:szCs w:val="28"/>
        </w:rPr>
        <w:t> </w:t>
      </w:r>
      <w:hyperlink r:id="rId27" w:tooltip="Общество русских акварелистов" w:history="1">
        <w:r>
          <w:rPr>
            <w:rStyle w:val="a3"/>
            <w:color w:val="auto"/>
            <w:sz w:val="28"/>
            <w:szCs w:val="28"/>
            <w:u w:val="none"/>
          </w:rPr>
          <w:t>«Общества русских акварелистов»</w:t>
        </w:r>
      </w:hyperlink>
      <w:r>
        <w:rPr>
          <w:sz w:val="28"/>
          <w:szCs w:val="28"/>
        </w:rPr>
        <w:t>, возникшего из кружка акварелистов. Его первым председателем был избран</w:t>
      </w:r>
      <w:r>
        <w:rPr>
          <w:rStyle w:val="apple-converted-space"/>
          <w:sz w:val="28"/>
          <w:szCs w:val="28"/>
        </w:rPr>
        <w:t> </w:t>
      </w:r>
      <w:hyperlink r:id="rId28" w:tooltip="Бенуа, Альберт Николаевич" w:history="1">
        <w:r>
          <w:rPr>
            <w:rStyle w:val="a3"/>
            <w:color w:val="auto"/>
            <w:sz w:val="28"/>
            <w:szCs w:val="28"/>
            <w:u w:val="none"/>
          </w:rPr>
          <w:t>А. Н. Бенуа</w:t>
        </w:r>
      </w:hyperlink>
      <w:r>
        <w:rPr>
          <w:sz w:val="28"/>
          <w:szCs w:val="28"/>
        </w:rPr>
        <w:t>. Общество вело активную выставочную деятельность. В 1998 году общество было возрождено как</w:t>
      </w:r>
      <w:hyperlink r:id="rId29" w:tooltip="Общество русских акварелистов" w:history="1">
        <w:r>
          <w:rPr>
            <w:rStyle w:val="a3"/>
            <w:color w:val="auto"/>
            <w:sz w:val="28"/>
            <w:szCs w:val="28"/>
            <w:u w:val="none"/>
          </w:rPr>
          <w:t>«Общество акварелистов Санкт-Петербурга»</w:t>
        </w:r>
      </w:hyperlink>
      <w:r>
        <w:rPr>
          <w:sz w:val="28"/>
          <w:szCs w:val="28"/>
        </w:rPr>
        <w:t>.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русской акварели состоит в том, что в России не было обособленной подготовки узких профессионалов-акварелистов. Наметившийся в конце XX века рост интереса к акварели, изменил положение вещей. Знаковым событием стало открытие</w:t>
      </w:r>
      <w:hyperlink r:id="rId30" w:tooltip="Школа акварели Сергея Андрияки" w:history="1">
        <w:r>
          <w:rPr>
            <w:rStyle w:val="a3"/>
            <w:color w:val="auto"/>
            <w:sz w:val="28"/>
            <w:szCs w:val="28"/>
            <w:u w:val="none"/>
          </w:rPr>
          <w:t>школы</w:t>
        </w:r>
      </w:hyperlink>
      <w:r>
        <w:rPr>
          <w:sz w:val="28"/>
          <w:szCs w:val="28"/>
        </w:rPr>
        <w:t>и</w:t>
      </w:r>
      <w:hyperlink r:id="rId31" w:tooltip="Академия акварели" w:history="1">
        <w:r>
          <w:rPr>
            <w:rStyle w:val="a3"/>
            <w:color w:val="auto"/>
            <w:sz w:val="28"/>
            <w:szCs w:val="28"/>
            <w:u w:val="none"/>
          </w:rPr>
          <w:t>академии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акварели</w:t>
      </w:r>
      <w:r>
        <w:rPr>
          <w:rStyle w:val="apple-converted-space"/>
          <w:sz w:val="28"/>
          <w:szCs w:val="28"/>
        </w:rPr>
        <w:t> </w:t>
      </w:r>
      <w:hyperlink r:id="rId32" w:tooltip="Сергей Андрияка" w:history="1">
        <w:r>
          <w:rPr>
            <w:rStyle w:val="a3"/>
            <w:color w:val="auto"/>
            <w:sz w:val="28"/>
            <w:szCs w:val="28"/>
            <w:u w:val="none"/>
          </w:rPr>
          <w:t>Сергея Андрияки</w:t>
        </w:r>
      </w:hyperlink>
      <w:r>
        <w:rPr>
          <w:sz w:val="28"/>
          <w:szCs w:val="28"/>
        </w:rPr>
        <w:t>.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Художник-аквалерист Анисимова Татьяна Борисовна.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интереснейших художниц-акварелистов является Татьяна Анисимова.</w:t>
      </w:r>
    </w:p>
    <w:p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Анисимова Татьяна Борисовна известная художница-акварелистка из города Санкт - Петербург, член Союза художников России с 2001 года. Член СПб общества акварелистов с 2013 года. Живописец, график.</w:t>
      </w:r>
    </w:p>
    <w:p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преподаватель живописи и пленэраООО «Программа «Юный художник», Выпускница Санкт-Петербургской государственной художественно-промышленной академии им. барона А.Л. Штиглица, факультет декоративно-прикладного искусства, кафедра керамики и стекла. </w:t>
      </w:r>
    </w:p>
    <w:p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2009 г.- Старший преподаватель живописи и композиции Санкт-Петербургской государственной художественно-промышленной академии им. барона А.Л. Штиглица, Факультет ДПИ.</w:t>
      </w:r>
    </w:p>
    <w:p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2000 г.-2009 г. - Санкт-Петербургский государственный университет культуры и искусств (СПБГУКИ). Доцент кафедры реставрации. Преподавала живопись, композицию и материаловедение (художественное стекло).</w:t>
      </w:r>
    </w:p>
    <w:p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её техники письма хотела бы затронуть один из приемов использования акварели - акварель по – сырому.</w:t>
      </w:r>
    </w:p>
    <w:p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Акварель по-сырому</w:t>
      </w:r>
      <w:r>
        <w:rPr>
          <w:sz w:val="28"/>
          <w:szCs w:val="28"/>
        </w:rPr>
        <w:t> (</w:t>
      </w:r>
      <w:hyperlink r:id="rId33" w:tooltip="Французский язык" w:history="1">
        <w:r>
          <w:rPr>
            <w:rStyle w:val="a3"/>
            <w:color w:val="auto"/>
            <w:sz w:val="28"/>
            <w:szCs w:val="28"/>
            <w:u w:val="none"/>
          </w:rPr>
          <w:t>фр.</w:t>
        </w:r>
      </w:hyperlink>
      <w:r>
        <w:rPr>
          <w:sz w:val="28"/>
          <w:szCs w:val="28"/>
        </w:rPr>
        <w:t> </w:t>
      </w:r>
      <w:r>
        <w:rPr>
          <w:i/>
          <w:iCs/>
          <w:sz w:val="28"/>
          <w:szCs w:val="28"/>
          <w:lang w:val="fr-FR"/>
        </w:rPr>
        <w:t>travailler dans l’eau</w:t>
      </w:r>
      <w:r>
        <w:rPr>
          <w:sz w:val="28"/>
          <w:szCs w:val="28"/>
        </w:rPr>
        <w:t> — «работать в воде») — техника в</w:t>
      </w:r>
      <w:r>
        <w:rPr>
          <w:rStyle w:val="apple-converted-space"/>
          <w:sz w:val="28"/>
          <w:szCs w:val="28"/>
        </w:rPr>
        <w:t> </w:t>
      </w:r>
      <w:hyperlink r:id="rId34" w:tooltip="Акварель" w:history="1">
        <w:r>
          <w:rPr>
            <w:rStyle w:val="a3"/>
            <w:color w:val="auto"/>
            <w:sz w:val="28"/>
            <w:szCs w:val="28"/>
            <w:u w:val="none"/>
          </w:rPr>
          <w:t>акварели</w:t>
        </w:r>
      </w:hyperlink>
      <w:r>
        <w:rPr>
          <w:sz w:val="28"/>
          <w:szCs w:val="28"/>
        </w:rPr>
        <w:t>, когда краска наносится на обильно смоченную водой бумагу, такой способ возможен только в акварельной живописи. Метод «по-сырому» часто применяется в комбинации с работой акварелью «по-сухому». Он требует от художника точности в выборе цвета и тона. Даже опытный мастер, работая по мокрой бумаге, не может предвидеть окончательный результат, так как рисунок остаётся «в движении» до полного высыхания. В то же время именно своей непредсказуемостью акварель «по-сырому» привлекает многих художников. Также этот метод, дающий возможность легко наносить краски и смывать их при ошибках, не затирая бумагу, позволяет лучше изучить специфику акварельной живописи начинающим.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Произведениям, выполненным акварелью «по-сырому», свойственна мягкость мазка и неповторимая фактура красочного слоя, которых невозможно добиться ни в какой другой живописной технике. Этот метод акварельной живописи особенно подходит для выполнения пейзажей и передачи атмосферных эффектов.</w:t>
      </w:r>
    </w:p>
    <w:p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Фрукты по серебру с белым предметом.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Вариации на тему "Натюрморт"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только с натуры, время 2,5-3 часа.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"Фрукты по "серебру" с белым предметом"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раздела «тематические этюды» - написать работу, применяя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технические приемы и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полученные ранее.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–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очень важно: 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Цельность решения; 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Отображение влияния световоздушной среды на тональные и цветовые отношения.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пограничные контрасты цветов;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Передаем материальность и цветовой тон;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белый предмет;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Усложняем композицию и детализацию натюрморта;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Уделяем внимание связи предметов с окружающей средой (соприкосновение предметов с фоном).</w:t>
      </w:r>
    </w:p>
    <w:p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понадобиться: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А3 акварельной бумаги, строительный скотч, простой карандаш В2, ластик, акварельные краски, кисти колонок (белка) № 8, 6, 2, баночка с водой, палитра.</w:t>
      </w:r>
    </w:p>
    <w:p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работы: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лист акварельной бумаги строительный скотчем по периметру к плоскости мольберта. Выполнить построение предметов в листе формата, таким образом, что бы изображаемые предметы были закомпанованы в листе и выдержаны пропорции изображаемых предметов. 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Смочить лист акварельной бумаги водой при помощи кисти (№8). Лист должен пропитаться таким количество воды, что бы лист бумаги был достаточно влажен. 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Кистью №8 наносим цвет лимоный на бумагу избегая попадания его на изображаемый предмет – тарелку. Не дожидаясь высыхания, сверху наносим золотисто-оранжевый цвет, так же избегая попадания его на изображаемый предмет – тарелку. Следующий слой акварели изображается сажей черной, проводя мазки кистью как бы в хаотичном порядке. После высыхания от мазков сажи черной появиться эффект складок.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лист не высох, убираем тон цвета в местах, где изображены фрукты при помощи кисти и чистой воды. 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работы идет прописка предметов, в данном случае это фрукты. Работа ведется сверху в низ. А это значит, что предметы, расположенные в листе верхней части прописываются в первую очередь. Это связано с тем, что акварель имеет свойство течь.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предмета есть: свет, полу тень, тень, блик и падающая тень. Поэтому мы начинаем писать предмета именно в том порядке, что указано выше. Блик «выбирается» чистой кистью по форме предмета. Тень пишется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ультрамарин с сажей черной, при этом плотность тени меняется. Чем ближе тень к предмету, тем плотнее. А если дальше, то плотность тени более разряжено тонально и в цвете.</w:t>
      </w:r>
    </w:p>
    <w:p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конце всегда прописывают светлые предметы. Это происходит по тому, что тонально светлый предмет должен быть самым светлым. Тональныйанализ в сравнении по отношению к другим изображаемым предметам. </w:t>
      </w:r>
    </w:p>
    <w:p>
      <w:pPr>
        <w:tabs>
          <w:tab w:val="left" w:pos="30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тарелке прописывается только золоченый ободок с учетом света и полутени, а так же падающая тень от предметов, которые находятся в тарелке и собственная тень. Тон падающих теней в тарелке на много светлее чем от таких же предметов на плоскость стола.</w:t>
      </w:r>
    </w:p>
    <w:p>
      <w:pPr>
        <w:tabs>
          <w:tab w:val="left" w:pos="30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учитывать, что форма падающих теней зависит от формы складок на драпировке и формы тарелки.</w:t>
      </w:r>
    </w:p>
    <w:p>
      <w:pPr>
        <w:tabs>
          <w:tab w:val="left" w:pos="306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tabs>
          <w:tab w:val="left" w:pos="30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4238625"/>
            <wp:effectExtent l="19050" t="0" r="0" b="0"/>
            <wp:docPr id="11" name="Рисунок 11" descr="http://lectoroom.com/uploads/base64/image552ce237198f04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ctoroom.com/uploads/base64/image552ce237198f04570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Фото №1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4295775"/>
            <wp:effectExtent l="19050" t="0" r="0" b="0"/>
            <wp:docPr id="12" name="Рисунок 12" descr="http://lectoroom.com/uploads/base64/image552ce23739c185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ectoroom.com/uploads/base64/image552ce23739c18565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Фото №2</w:t>
      </w:r>
    </w:p>
    <w:p>
      <w:pPr>
        <w:tabs>
          <w:tab w:val="left" w:pos="30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 акварельной живописи прошла большой путь и не потеряла своей актуальности на сегодняшний день.  Зародившись  в древние времена акварель, находила свое применение в практиках художников многих эпох и народов. Оно сопровождает человечество на протяжении столетий и  отражая  внешние и внутренние, духовные и социальные аспекты его жизни. Акварельное направление прогрессирует и меняется в контексте с определенной исторической эпохой, тем самым способствуя поиску отражения на холсте каких – то  новых элементов, которые, безусловно, приобретаются в процессе дальнейшего совершенствования письма художниками последующих поколений. Не  секрет что техника исполнения письма, здесь может вызывать определенные осложнения у мастеров, не достигших определенного  опыта. Но, несмотря  на сложность исполнения письма в акварели существует множество достойных продолжателей этого направления в живописи, это доказывает тот повышенный интерес, который имеет место быть в среде современного поколения художников.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Власов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Акварель // Новый энциклопедический словарь изобразительного искусства: В 10 т. — СПб.: Азбука-классика, 2004.</w:t>
      </w:r>
    </w:p>
    <w:p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Гаррисон 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 и живопись: карандаш, акварель, масляные и акриловые краски, пастель: полный курс: материалы, техника, методы / пер. Елены Зайцевой. — М.: Эксмо, 2007. </w:t>
      </w:r>
    </w:p>
    <w:p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Клюнинг А. Материалы акварельной живописи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// Художник. 1975.</w:t>
      </w:r>
    </w:p>
    <w:p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Современная советская акварель. Автор вступ. ст. В. И. Володин, составитель Н. А. Володина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Советский художник, 1983.</w:t>
      </w:r>
    </w:p>
    <w:p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outlineLvl w:val="1"/>
        <w:rPr>
          <w:sz w:val="28"/>
          <w:szCs w:val="28"/>
        </w:rPr>
      </w:pPr>
      <w:r>
        <w:rPr>
          <w:kern w:val="36"/>
          <w:sz w:val="28"/>
          <w:szCs w:val="28"/>
        </w:rPr>
        <w:t>Сокольникова Н.М. Основы живописи для учащихся 5-8 классов</w:t>
      </w:r>
      <w:r>
        <w:rPr>
          <w:sz w:val="28"/>
          <w:szCs w:val="28"/>
        </w:rPr>
        <w:t xml:space="preserve"> – О.: Титул, 1996</w:t>
      </w:r>
    </w:p>
    <w:p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Макаров П. Об акварели или живописи водяными красками. М.: 2003</w:t>
      </w:r>
    </w:p>
    <w:p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Лепикаш В.Н. Серия: Секреты мастеров прошлого. Акварель.</w:t>
      </w:r>
      <w:r>
        <w:rPr>
          <w:sz w:val="28"/>
          <w:szCs w:val="28"/>
        </w:rPr>
        <w:t>М.: 2007</w:t>
      </w:r>
    </w:p>
    <w:p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68545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fldSimple w:instr="PAGE   \* MERGEFORMAT">
          <w:r>
            <w:rPr>
              <w:noProof/>
            </w:rPr>
            <w:t>4</w:t>
          </w:r>
        </w:fldSimple>
      </w:p>
    </w:sdtContent>
  </w:sdt>
  <w:p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4DA"/>
    <w:multiLevelType w:val="multilevel"/>
    <w:tmpl w:val="A9A844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CB43B0"/>
    <w:multiLevelType w:val="multilevel"/>
    <w:tmpl w:val="FFD4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D7F9B"/>
    <w:multiLevelType w:val="hybridMultilevel"/>
    <w:tmpl w:val="84C4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4A3D"/>
    <w:multiLevelType w:val="hybridMultilevel"/>
    <w:tmpl w:val="3A9C0326"/>
    <w:lvl w:ilvl="0" w:tplc="32C63C8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696BCD"/>
    <w:multiLevelType w:val="multilevel"/>
    <w:tmpl w:val="C14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1B1B22"/>
    <w:multiLevelType w:val="multilevel"/>
    <w:tmpl w:val="72D8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itation">
    <w:name w:val="citation"/>
    <w:basedOn w:val="a0"/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25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3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CE2"/>
  </w:style>
  <w:style w:type="character" w:styleId="a3">
    <w:name w:val="Hyperlink"/>
    <w:basedOn w:val="a0"/>
    <w:uiPriority w:val="99"/>
    <w:semiHidden/>
    <w:unhideWhenUsed/>
    <w:rsid w:val="008A5C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0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4FC2"/>
    <w:pPr>
      <w:ind w:left="720"/>
      <w:contextualSpacing/>
    </w:pPr>
  </w:style>
  <w:style w:type="character" w:styleId="a8">
    <w:name w:val="Emphasis"/>
    <w:basedOn w:val="a0"/>
    <w:uiPriority w:val="20"/>
    <w:qFormat/>
    <w:rsid w:val="003F3358"/>
    <w:rPr>
      <w:i/>
      <w:iCs/>
    </w:rPr>
  </w:style>
  <w:style w:type="character" w:customStyle="1" w:styleId="citation">
    <w:name w:val="citation"/>
    <w:basedOn w:val="a0"/>
    <w:rsid w:val="005A37BE"/>
  </w:style>
  <w:style w:type="paragraph" w:styleId="a9">
    <w:name w:val="header"/>
    <w:basedOn w:val="a"/>
    <w:link w:val="aa"/>
    <w:uiPriority w:val="99"/>
    <w:unhideWhenUsed/>
    <w:rsid w:val="00EA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1F8"/>
  </w:style>
  <w:style w:type="paragraph" w:styleId="ab">
    <w:name w:val="footer"/>
    <w:basedOn w:val="a"/>
    <w:link w:val="ac"/>
    <w:uiPriority w:val="99"/>
    <w:unhideWhenUsed/>
    <w:rsid w:val="00EA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21F8"/>
  </w:style>
  <w:style w:type="character" w:customStyle="1" w:styleId="10">
    <w:name w:val="Заголовок 1 Знак"/>
    <w:basedOn w:val="a0"/>
    <w:link w:val="1"/>
    <w:uiPriority w:val="9"/>
    <w:rsid w:val="00A25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6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hyperlink" Target="https://ru.wikipedia.org/wiki/%D0%91%D1%83%D0%BC%D0%B0%D0%B3%D0%B0" TargetMode="External"/><Relationship Id="rId18" Type="http://schemas.openxmlformats.org/officeDocument/2006/relationships/hyperlink" Target="https://ru.wikipedia.org/wiki/%D0%91%D1%80%D1%8E%D0%BB%D0%BB%D0%BE%D0%B2,_%D0%90%D0%BB%D0%B5%D0%BA%D1%81%D0%B0%D0%BD%D0%B4%D1%80_%D0%9F%D0%B0%D0%B2%D0%BB%D0%BE%D0%B2%D0%B8%D1%87" TargetMode="External"/><Relationship Id="rId26" Type="http://schemas.openxmlformats.org/officeDocument/2006/relationships/hyperlink" Target="https://ru.wikipedia.org/wiki/%D0%A1%D0%BE%D0%BC%D0%BE%D0%B2,_%D0%9A%D0%BE%D0%BD%D1%81%D1%82%D0%B0%D0%BD%D1%82%D0%B8%D0%BD_%D0%90%D0%BD%D0%B4%D1%80%D0%B5%D0%B5%D0%B2%D0%B8%D1%8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1%80%D1%83%D0%B1%D0%B5%D0%BB%D1%8C,_%D0%9C%D0%B8%D1%85%D0%B0%D0%B8%D0%BB_%D0%90%D0%BB%D0%B5%D0%BA%D1%81%D0%B0%D0%BD%D0%B4%D1%80%D0%BE%D0%B2%D0%B8%D1%87" TargetMode="External"/><Relationship Id="rId34" Type="http://schemas.openxmlformats.org/officeDocument/2006/relationships/hyperlink" Target="https://ru.wikipedia.org/wiki/%D0%90%D0%BA%D0%B2%D0%B0%D1%80%D0%B5%D0%BB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1%D0%BD%D0%BE%D0%B2%D0%B0_(%D0%B6%D0%B8%D0%B2%D0%BE%D0%BF%D0%B8%D1%81%D1%8C)" TargetMode="External"/><Relationship Id="rId17" Type="http://schemas.openxmlformats.org/officeDocument/2006/relationships/hyperlink" Target="https://ru.wikipedia.org/wiki/%D0%91%D1%80%D1%8E%D0%BB%D0%BB%D0%BE%D0%B2,_%D0%9A%D0%B0%D1%80%D0%BB_%D0%9F%D0%B0%D0%B2%D0%BB%D0%BE%D0%B2%D0%B8%D1%87" TargetMode="External"/><Relationship Id="rId25" Type="http://schemas.openxmlformats.org/officeDocument/2006/relationships/hyperlink" Target="https://ru.wikipedia.org/wiki/%D0%91%D0%B8%D0%BB%D0%B8%D0%B1%D0%B8%D0%BD,_%D0%98%D0%B2%D0%B0%D0%BD_%D0%AF%D0%BA%D0%BE%D0%B2%D0%BB%D0%B5%D0%B2%D0%B8%D1%87" TargetMode="External"/><Relationship Id="rId33" Type="http://schemas.openxmlformats.org/officeDocument/2006/relationships/hyperlink" Target="https://ru.wikipedia.org/wiki/%D0%A4%D1%80%D0%B0%D0%BD%D1%86%D1%83%D0%B7%D1%81%D0%BA%D0%B8%D0%B9_%D1%8F%D0%B7%D1%8B%D0%B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A%D0%BE%D0%BB%D0%BE%D0%B2,_%D0%9F%D1%91%D1%82%D1%80_%D0%A4%D1%91%D0%B4%D0%BE%D1%80%D0%BE%D0%B2%D0%B8%D1%87" TargetMode="External"/><Relationship Id="rId20" Type="http://schemas.openxmlformats.org/officeDocument/2006/relationships/hyperlink" Target="https://ru.wikipedia.org/wiki/%D0%A0%D0%B5%D0%BF%D0%B8%D0%BD,_%D0%98%D0%BB%D1%8C%D1%8F_%D0%95%D1%84%D0%B8%D0%BC%D0%BE%D0%B2%D0%B8%D1%87" TargetMode="External"/><Relationship Id="rId29" Type="http://schemas.openxmlformats.org/officeDocument/2006/relationships/hyperlink" Target="https://ru.wikipedia.org/wiki/%D0%9E%D0%B1%D1%89%D0%B5%D1%81%D1%82%D0%B2%D0%BE_%D1%80%D1%83%D1%81%D1%81%D0%BA%D0%B8%D1%85_%D0%B0%D0%BA%D0%B2%D0%B0%D1%80%D0%B5%D0%BB%D0%B8%D1%81%D1%82%D0%BE%D0%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1%83%D0%BC%D0%B0%D0%B3%D0%B0" TargetMode="External"/><Relationship Id="rId24" Type="http://schemas.openxmlformats.org/officeDocument/2006/relationships/hyperlink" Target="https://ru.wikipedia.org/wiki/%D0%9B%D0%B5%D0%BE%D0%BD_%D0%91%D0%B0%D0%BA%D1%81%D1%82" TargetMode="External"/><Relationship Id="rId32" Type="http://schemas.openxmlformats.org/officeDocument/2006/relationships/hyperlink" Target="https://ru.wikipedia.org/wiki/%D0%A1%D0%B5%D1%80%D0%B3%D0%B5%D0%B9_%D0%90%D0%BD%D0%B4%D1%80%D0%B8%D1%8F%D0%BA%D0%B0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5%D0%BA%D0%BB%D0%BE" TargetMode="External"/><Relationship Id="rId23" Type="http://schemas.openxmlformats.org/officeDocument/2006/relationships/hyperlink" Target="https://ru.wikipedia.org/wiki/%D0%91%D0%B5%D0%BD%D1%83%D0%B0,_%D0%90%D0%BB%D0%B5%D0%BA%D1%81%D0%B0%D0%BD%D0%B4%D1%80_%D0%9D%D0%B8%D0%BA%D0%BE%D0%BB%D0%B0%D0%B5%D0%B2%D0%B8%D1%87" TargetMode="External"/><Relationship Id="rId28" Type="http://schemas.openxmlformats.org/officeDocument/2006/relationships/hyperlink" Target="https://ru.wikipedia.org/wiki/%D0%91%D0%B5%D0%BD%D1%83%D0%B0,_%D0%90%D0%BB%D1%8C%D0%B1%D0%B5%D1%80%D1%82_%D0%9D%D0%B8%D0%BA%D0%BE%D0%BB%D0%B0%D0%B5%D0%B2%D0%B8%D1%87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ru.wikipedia.org/wiki/%D0%93%D1%80%D0%B0%D1%84%D0%B8%D0%BA%D0%B0" TargetMode="External"/><Relationship Id="rId19" Type="http://schemas.openxmlformats.org/officeDocument/2006/relationships/hyperlink" Target="https://ru.wikipedia.org/wiki/%D0%9A%D0%BB%D0%BE%D0%B4%D1%82,_%D0%9C%D0%B8%D1%85%D0%B0%D0%B8%D0%BB_%D0%9F%D0%B5%D1%82%D1%80%D0%BE%D0%B2%D0%B8%D1%87" TargetMode="External"/><Relationship Id="rId31" Type="http://schemas.openxmlformats.org/officeDocument/2006/relationships/hyperlink" Target="https://ru.wikipedia.org/wiki/%D0%90%D0%BA%D0%B0%D0%B4%D0%B5%D0%BC%D0%B8%D1%8F_%D0%B0%D0%BA%D0%B2%D0%B0%D1%80%D0%B5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8%D0%B2%D0%BE%D0%BF%D0%B8%D1%81%D1%8C" TargetMode="External"/><Relationship Id="rId14" Type="http://schemas.openxmlformats.org/officeDocument/2006/relationships/hyperlink" Target="https://ru.wikipedia.org/wiki/%D0%90%D0%BA%D0%B2%D0%B0%D1%80%D0%B5%D0%BB%D1%8C_%D0%BF%D0%BE-%D1%81%D1%8B%D1%80%D0%BE%D0%BC%D1%83" TargetMode="External"/><Relationship Id="rId22" Type="http://schemas.openxmlformats.org/officeDocument/2006/relationships/hyperlink" Target="https://ru.wikipedia.org/wiki/%D0%A1%D0%B5%D1%80%D0%BE%D0%B2,_%D0%92%D0%B0%D0%BB%D0%B5%D0%BD%D1%82%D0%B8%D0%BD_%D0%90%D0%BB%D0%B5%D0%BA%D1%81%D0%B0%D0%BD%D0%B4%D1%80%D0%BE%D0%B2%D0%B8%D1%87" TargetMode="External"/><Relationship Id="rId27" Type="http://schemas.openxmlformats.org/officeDocument/2006/relationships/hyperlink" Target="https://ru.wikipedia.org/wiki/%D0%9E%D0%B1%D1%89%D0%B5%D1%81%D1%82%D0%B2%D0%BE_%D1%80%D1%83%D1%81%D1%81%D0%BA%D0%B8%D1%85_%D0%B0%D0%BA%D0%B2%D0%B0%D1%80%D0%B5%D0%BB%D0%B8%D1%81%D1%82%D0%BE%D0%B2" TargetMode="External"/><Relationship Id="rId30" Type="http://schemas.openxmlformats.org/officeDocument/2006/relationships/hyperlink" Target="https://ru.wikipedia.org/wiki/%D0%A8%D0%BA%D0%BE%D0%BB%D0%B0_%D0%B0%D0%BA%D0%B2%D0%B0%D1%80%D0%B5%D0%BB%D0%B8_%D0%A1%D0%B5%D1%80%D0%B3%D0%B5%D1%8F_%D0%90%D0%BD%D0%B4%D1%80%D0%B8%D1%8F%D0%BA%D0%B8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076C-64F0-478F-9E81-10AF1C0B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9</cp:revision>
  <cp:lastPrinted>2015-06-22T04:48:00Z</cp:lastPrinted>
  <dcterms:created xsi:type="dcterms:W3CDTF">2017-10-12T09:18:00Z</dcterms:created>
  <dcterms:modified xsi:type="dcterms:W3CDTF">2017-10-13T11:57:00Z</dcterms:modified>
</cp:coreProperties>
</file>